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78C" w14:textId="5E1BE543" w:rsidR="00620ED3" w:rsidRPr="00620ED3" w:rsidRDefault="00620ED3" w:rsidP="000459CF">
      <w:pPr>
        <w:spacing w:line="264" w:lineRule="auto"/>
        <w:jc w:val="both"/>
        <w:rPr>
          <w:rFonts w:ascii="Calibri" w:hAnsi="Calibri" w:cs="Calibri"/>
          <w:sz w:val="24"/>
          <w:szCs w:val="24"/>
        </w:rPr>
      </w:pPr>
      <w:r w:rsidRPr="00620ED3">
        <w:rPr>
          <w:rFonts w:ascii="Calibri" w:hAnsi="Calibri" w:cs="Calibri"/>
          <w:sz w:val="24"/>
          <w:szCs w:val="24"/>
        </w:rPr>
        <w:t>Las indemnizaciones por este concepto se autorizarán conforme a lo establecido en la Base 3</w:t>
      </w:r>
      <w:r w:rsidR="000459CF">
        <w:rPr>
          <w:rFonts w:ascii="Calibri" w:hAnsi="Calibri" w:cs="Calibri"/>
          <w:sz w:val="24"/>
          <w:szCs w:val="24"/>
        </w:rPr>
        <w:t>6</w:t>
      </w:r>
      <w:r w:rsidRPr="00620ED3">
        <w:rPr>
          <w:rFonts w:ascii="Calibri" w:hAnsi="Calibri" w:cs="Calibri"/>
          <w:sz w:val="24"/>
          <w:szCs w:val="24"/>
        </w:rPr>
        <w:t>ª de las de Ejecución del Presupuesto vigente del Consorcio</w:t>
      </w:r>
      <w:r w:rsidR="000459CF">
        <w:rPr>
          <w:rFonts w:ascii="Calibri" w:hAnsi="Calibri" w:cs="Calibri"/>
          <w:sz w:val="24"/>
          <w:szCs w:val="24"/>
        </w:rPr>
        <w:t xml:space="preserve"> para el ejercicio 2021.</w:t>
      </w:r>
    </w:p>
    <w:p w14:paraId="75FD4845" w14:textId="77777777" w:rsidR="000459CF" w:rsidRDefault="000459CF" w:rsidP="000459CF">
      <w:pPr>
        <w:tabs>
          <w:tab w:val="left" w:pos="576"/>
          <w:tab w:val="left" w:pos="720"/>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BASE 36ª.- INDEMNIZACIONES POR RAZÓN DEL SERVICIO.</w:t>
      </w:r>
    </w:p>
    <w:p w14:paraId="10CA84BE"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1.- </w:t>
      </w:r>
      <w:r>
        <w:rPr>
          <w:rFonts w:ascii="Calibri" w:hAnsi="Calibri" w:cs="Calibri"/>
          <w:color w:val="000000"/>
          <w:sz w:val="22"/>
          <w:szCs w:val="22"/>
        </w:rPr>
        <w:t>Con cargo a los créditos consignados en la aplicación presupuestaria 912.23100 podrán ser satisfechas las indemnizaciones que por desplazamientos dentro de la Isla del personal del Consorcio que se determinen expresamente en caso necesario por resolución motivada de la Gerencia, quedando establecidas en la cantidad de CERO EUROS CON VEINTIDÓS (euros 0,22.)</w:t>
      </w:r>
      <w:r>
        <w:rPr>
          <w:rFonts w:ascii="Calibri" w:hAnsi="Calibri" w:cs="Calibri"/>
          <w:b/>
          <w:color w:val="000000"/>
          <w:sz w:val="22"/>
          <w:szCs w:val="22"/>
        </w:rPr>
        <w:t xml:space="preserve"> </w:t>
      </w:r>
      <w:r>
        <w:rPr>
          <w:rFonts w:ascii="Calibri" w:hAnsi="Calibri" w:cs="Calibri"/>
          <w:color w:val="000000"/>
          <w:sz w:val="22"/>
          <w:szCs w:val="22"/>
        </w:rPr>
        <w:t>por kilómetro recorrido.</w:t>
      </w:r>
    </w:p>
    <w:p w14:paraId="4453224C"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2.-</w:t>
      </w:r>
      <w:r>
        <w:rPr>
          <w:rFonts w:ascii="Calibri" w:hAnsi="Calibri" w:cs="Calibri"/>
          <w:color w:val="000000"/>
          <w:sz w:val="22"/>
          <w:szCs w:val="22"/>
        </w:rPr>
        <w:t xml:space="preserve"> Asimismo podrán ser establecidas con el mismo importe las indemnizaciones que correspondan por desplazamientos del personal que sean necesarios para la asistencia a reuniones o para llevar a cabo gestiones administrativas ineludibles, con carácter excepcional o por motivos de urgencia, previamente encomendada de forma expresa y por escrito por el Gerente.</w:t>
      </w:r>
    </w:p>
    <w:p w14:paraId="44579D11"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3.- </w:t>
      </w:r>
      <w:r>
        <w:rPr>
          <w:rFonts w:ascii="Calibri" w:hAnsi="Calibri" w:cs="Calibri"/>
          <w:color w:val="000000"/>
          <w:sz w:val="22"/>
          <w:szCs w:val="22"/>
        </w:rPr>
        <w:t>En cualquier caso, los gastos de desplazamiento fuera de la Isla en avión o en cualquier otro medio de transporte serán objeto de abono o reintegro de forma independiente con arreglo a lo que disponga la resolución de desplazamiento en comisión de servicio que dicte la Gerencia.</w:t>
      </w:r>
    </w:p>
    <w:p w14:paraId="70317EBF"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4.- </w:t>
      </w:r>
      <w:r>
        <w:rPr>
          <w:rFonts w:ascii="Calibri" w:hAnsi="Calibri" w:cs="Calibri"/>
          <w:color w:val="000000"/>
          <w:sz w:val="22"/>
          <w:szCs w:val="22"/>
        </w:rPr>
        <w:t xml:space="preserve">Con cargo a los créditos consignados en la aplicación presupuestaria 920.23120 serán satisfechas las indemnizaciones que correspondan al personal del Consorcio por los desplazamientos que sea necesario realizar para llevar a cabo cualquier gestión que se les encomiende de forma expresa y por escrito por el </w:t>
      </w:r>
      <w:proofErr w:type="gramStart"/>
      <w:r>
        <w:rPr>
          <w:rFonts w:ascii="Calibri" w:hAnsi="Calibri" w:cs="Calibri"/>
          <w:color w:val="000000"/>
          <w:sz w:val="22"/>
          <w:szCs w:val="22"/>
        </w:rPr>
        <w:t>Presidente</w:t>
      </w:r>
      <w:proofErr w:type="gramEnd"/>
      <w:r>
        <w:rPr>
          <w:rFonts w:ascii="Calibri" w:hAnsi="Calibri" w:cs="Calibri"/>
          <w:color w:val="000000"/>
          <w:sz w:val="22"/>
          <w:szCs w:val="22"/>
        </w:rPr>
        <w:t xml:space="preserve"> u Órgano competente.</w:t>
      </w:r>
    </w:p>
    <w:p w14:paraId="35D862F8"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Las citadas indemnizaciones quedan establecidas en el importe de EUROS CERO CON VEINTIDÓS (euros 0,22</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por kilómetro recorrido en el vehículo particular.</w:t>
      </w:r>
    </w:p>
    <w:p w14:paraId="4959880E"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FF"/>
          <w:sz w:val="22"/>
          <w:szCs w:val="22"/>
        </w:rPr>
        <w:tab/>
      </w:r>
      <w:r>
        <w:rPr>
          <w:rFonts w:ascii="Calibri" w:hAnsi="Calibri" w:cs="Calibri"/>
          <w:color w:val="000000"/>
          <w:sz w:val="22"/>
          <w:szCs w:val="22"/>
        </w:rPr>
        <w:t>Para tener derecho a las citadas indemnizaciones, deberá autorizarse expresamente la utilización del citado vehículo particular en la Orden de Comisión de Servicio emitida por el Gerente, conforme a lo establecido en el Real Decreto 462/2002, de 24 de mayo, sobre indemnizaciones por razón del servicio.</w:t>
      </w:r>
    </w:p>
    <w:p w14:paraId="0AC55143"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5</w:t>
      </w:r>
      <w:r>
        <w:rPr>
          <w:rFonts w:ascii="Calibri" w:hAnsi="Calibri" w:cs="Calibri"/>
          <w:color w:val="000000"/>
          <w:sz w:val="22"/>
          <w:szCs w:val="22"/>
        </w:rPr>
        <w:t>.- El personal del Consorcio, tendrá derecho a ser resarcido en las comisiones de Servicio. En dichas comisiones de servicio, los gastos de alojamiento y viaje, las cuantías máximas a pagar por alojamiento y manutención no podrán superar los importes que a continuación se indican.</w:t>
      </w:r>
    </w:p>
    <w:p w14:paraId="4ECB3874" w14:textId="77777777" w:rsidR="000459CF" w:rsidRDefault="000459CF" w:rsidP="000459CF">
      <w:pPr>
        <w:numPr>
          <w:ilvl w:val="0"/>
          <w:numId w:val="4"/>
        </w:numPr>
        <w:tabs>
          <w:tab w:val="left" w:pos="709"/>
        </w:tabs>
        <w:suppressAutoHyphens w:val="0"/>
        <w:spacing w:before="200" w:line="240" w:lineRule="auto"/>
        <w:ind w:leftChars="141" w:left="284"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el TERRITORIO NACIONAL se aplicarán, con carácter general, las dietas siguientes:</w:t>
      </w:r>
    </w:p>
    <w:p w14:paraId="65418E0F" w14:textId="77777777" w:rsidR="000459CF" w:rsidRDefault="000459CF" w:rsidP="000459CF">
      <w:pPr>
        <w:tabs>
          <w:tab w:val="left" w:pos="576"/>
          <w:tab w:val="left" w:pos="720"/>
          <w:tab w:val="left" w:pos="1152"/>
          <w:tab w:val="left" w:pos="1728"/>
          <w:tab w:val="left" w:pos="2592"/>
          <w:tab w:val="left" w:pos="7200"/>
          <w:tab w:val="left" w:pos="8208"/>
        </w:tabs>
        <w:spacing w:line="360" w:lineRule="auto"/>
        <w:ind w:hanging="2"/>
        <w:jc w:val="both"/>
        <w:rPr>
          <w:rFonts w:ascii="Calibri" w:hAnsi="Calibri" w:cs="Calibri"/>
          <w:color w:val="000000"/>
          <w:sz w:val="22"/>
          <w:szCs w:val="22"/>
        </w:rPr>
      </w:pPr>
    </w:p>
    <w:tbl>
      <w:tblPr>
        <w:tblW w:w="7815" w:type="dxa"/>
        <w:jc w:val="center"/>
        <w:tblBorders>
          <w:top w:val="single" w:sz="12" w:space="0" w:color="BFBFBF"/>
          <w:left w:val="single" w:sz="12" w:space="0" w:color="BFBFBF"/>
          <w:bottom w:val="single" w:sz="12" w:space="0" w:color="BFBFBF"/>
          <w:right w:val="single" w:sz="12" w:space="0" w:color="BFBFBF"/>
          <w:insideH w:val="single" w:sz="12" w:space="0" w:color="F2F2F2"/>
          <w:insideV w:val="single" w:sz="12" w:space="0" w:color="F2F2F2"/>
        </w:tblBorders>
        <w:tblLayout w:type="fixed"/>
        <w:tblCellMar>
          <w:left w:w="115" w:type="dxa"/>
          <w:right w:w="115" w:type="dxa"/>
        </w:tblCellMar>
        <w:tblLook w:val="0000" w:firstRow="0" w:lastRow="0" w:firstColumn="0" w:lastColumn="0" w:noHBand="0" w:noVBand="0"/>
      </w:tblPr>
      <w:tblGrid>
        <w:gridCol w:w="2611"/>
        <w:gridCol w:w="2592"/>
        <w:gridCol w:w="2612"/>
      </w:tblGrid>
      <w:tr w:rsidR="000459CF" w14:paraId="26A5A578" w14:textId="77777777" w:rsidTr="009C0AD6">
        <w:trPr>
          <w:jc w:val="center"/>
        </w:trPr>
        <w:tc>
          <w:tcPr>
            <w:tcW w:w="2611" w:type="dxa"/>
            <w:tcBorders>
              <w:top w:val="single" w:sz="12" w:space="0" w:color="BFBFBF"/>
            </w:tcBorders>
          </w:tcPr>
          <w:p w14:paraId="1EF3C013" w14:textId="77777777" w:rsidR="000459CF" w:rsidRPr="00F811E0" w:rsidRDefault="000459CF" w:rsidP="009C0AD6">
            <w:pPr>
              <w:tabs>
                <w:tab w:val="left" w:pos="576"/>
                <w:tab w:val="left" w:pos="720"/>
                <w:tab w:val="left" w:pos="1152"/>
                <w:tab w:val="left" w:pos="1728"/>
                <w:tab w:val="left" w:pos="2592"/>
                <w:tab w:val="left" w:pos="7200"/>
                <w:tab w:val="left" w:pos="8208"/>
              </w:tabs>
              <w:spacing w:line="360" w:lineRule="auto"/>
              <w:ind w:hanging="2"/>
              <w:jc w:val="both"/>
              <w:rPr>
                <w:rFonts w:ascii="Calibri" w:hAnsi="Calibri" w:cs="Calibri"/>
                <w:color w:val="000000"/>
                <w:sz w:val="22"/>
                <w:szCs w:val="22"/>
              </w:rPr>
            </w:pPr>
            <w:r w:rsidRPr="00F811E0">
              <w:rPr>
                <w:rFonts w:ascii="Calibri" w:hAnsi="Calibri" w:cs="Calibri"/>
                <w:color w:val="000000"/>
                <w:sz w:val="22"/>
                <w:szCs w:val="22"/>
              </w:rPr>
              <w:t>Por alojamiento</w:t>
            </w:r>
          </w:p>
        </w:tc>
        <w:tc>
          <w:tcPr>
            <w:tcW w:w="2592" w:type="dxa"/>
            <w:tcBorders>
              <w:top w:val="single" w:sz="12" w:space="0" w:color="BFBFBF"/>
            </w:tcBorders>
          </w:tcPr>
          <w:p w14:paraId="081C5E97" w14:textId="77777777" w:rsidR="000459CF" w:rsidRPr="00F811E0" w:rsidRDefault="000459CF" w:rsidP="009C0AD6">
            <w:pPr>
              <w:tabs>
                <w:tab w:val="left" w:pos="576"/>
                <w:tab w:val="left" w:pos="720"/>
                <w:tab w:val="left" w:pos="1152"/>
                <w:tab w:val="left" w:pos="1728"/>
                <w:tab w:val="left" w:pos="2592"/>
                <w:tab w:val="left" w:pos="7200"/>
                <w:tab w:val="left" w:pos="8208"/>
              </w:tabs>
              <w:spacing w:line="360" w:lineRule="auto"/>
              <w:ind w:hanging="2"/>
              <w:jc w:val="both"/>
              <w:rPr>
                <w:rFonts w:ascii="Calibri" w:hAnsi="Calibri" w:cs="Calibri"/>
                <w:color w:val="000000"/>
                <w:sz w:val="22"/>
                <w:szCs w:val="22"/>
              </w:rPr>
            </w:pPr>
            <w:r w:rsidRPr="00F811E0">
              <w:rPr>
                <w:rFonts w:ascii="Calibri" w:hAnsi="Calibri" w:cs="Calibri"/>
                <w:color w:val="000000"/>
                <w:sz w:val="22"/>
                <w:szCs w:val="22"/>
              </w:rPr>
              <w:t>Por manutención</w:t>
            </w:r>
          </w:p>
        </w:tc>
        <w:tc>
          <w:tcPr>
            <w:tcW w:w="2612" w:type="dxa"/>
            <w:tcBorders>
              <w:top w:val="single" w:sz="12" w:space="0" w:color="BFBFBF"/>
            </w:tcBorders>
          </w:tcPr>
          <w:p w14:paraId="4365777C" w14:textId="77777777" w:rsidR="000459CF" w:rsidRPr="00F811E0" w:rsidRDefault="000459CF" w:rsidP="009C0AD6">
            <w:pPr>
              <w:tabs>
                <w:tab w:val="left" w:pos="576"/>
                <w:tab w:val="left" w:pos="720"/>
                <w:tab w:val="left" w:pos="1152"/>
                <w:tab w:val="left" w:pos="1728"/>
                <w:tab w:val="left" w:pos="2592"/>
                <w:tab w:val="left" w:pos="7200"/>
                <w:tab w:val="left" w:pos="8208"/>
              </w:tabs>
              <w:spacing w:line="360" w:lineRule="auto"/>
              <w:ind w:hanging="2"/>
              <w:jc w:val="both"/>
              <w:rPr>
                <w:rFonts w:ascii="Calibri" w:hAnsi="Calibri" w:cs="Calibri"/>
                <w:color w:val="000000"/>
                <w:sz w:val="22"/>
                <w:szCs w:val="22"/>
              </w:rPr>
            </w:pPr>
            <w:r w:rsidRPr="00F811E0">
              <w:rPr>
                <w:rFonts w:ascii="Calibri" w:hAnsi="Calibri" w:cs="Calibri"/>
                <w:color w:val="000000"/>
                <w:sz w:val="22"/>
                <w:szCs w:val="22"/>
              </w:rPr>
              <w:t>Dieta entera</w:t>
            </w:r>
          </w:p>
        </w:tc>
      </w:tr>
      <w:tr w:rsidR="000459CF" w14:paraId="43BCB340" w14:textId="77777777" w:rsidTr="009C0AD6">
        <w:trPr>
          <w:jc w:val="center"/>
        </w:trPr>
        <w:tc>
          <w:tcPr>
            <w:tcW w:w="2611" w:type="dxa"/>
            <w:tcBorders>
              <w:bottom w:val="single" w:sz="12" w:space="0" w:color="BFBFBF"/>
            </w:tcBorders>
          </w:tcPr>
          <w:p w14:paraId="3BC9A2C4" w14:textId="77777777" w:rsidR="000459CF" w:rsidRPr="00F811E0" w:rsidRDefault="000459CF" w:rsidP="009C0AD6">
            <w:pPr>
              <w:tabs>
                <w:tab w:val="left" w:pos="576"/>
                <w:tab w:val="left" w:pos="720"/>
                <w:tab w:val="left" w:pos="1152"/>
                <w:tab w:val="left" w:pos="1728"/>
                <w:tab w:val="left" w:pos="2592"/>
                <w:tab w:val="left" w:pos="7200"/>
                <w:tab w:val="left" w:pos="8208"/>
              </w:tabs>
              <w:spacing w:line="360" w:lineRule="auto"/>
              <w:ind w:hanging="2"/>
              <w:jc w:val="both"/>
              <w:rPr>
                <w:rFonts w:ascii="Calibri" w:hAnsi="Calibri" w:cs="Calibri"/>
                <w:color w:val="000000"/>
                <w:sz w:val="22"/>
                <w:szCs w:val="22"/>
              </w:rPr>
            </w:pPr>
            <w:r w:rsidRPr="00F811E0">
              <w:rPr>
                <w:rFonts w:ascii="Calibri" w:hAnsi="Calibri" w:cs="Calibri"/>
                <w:color w:val="000000"/>
                <w:sz w:val="22"/>
                <w:szCs w:val="22"/>
              </w:rPr>
              <w:t>102,56 €</w:t>
            </w:r>
          </w:p>
        </w:tc>
        <w:tc>
          <w:tcPr>
            <w:tcW w:w="2592" w:type="dxa"/>
            <w:tcBorders>
              <w:bottom w:val="single" w:sz="12" w:space="0" w:color="BFBFBF"/>
            </w:tcBorders>
          </w:tcPr>
          <w:p w14:paraId="41761F8E" w14:textId="77777777" w:rsidR="000459CF" w:rsidRPr="00F811E0" w:rsidRDefault="000459CF" w:rsidP="009C0AD6">
            <w:pPr>
              <w:tabs>
                <w:tab w:val="left" w:pos="576"/>
                <w:tab w:val="left" w:pos="720"/>
                <w:tab w:val="left" w:pos="1152"/>
                <w:tab w:val="left" w:pos="1728"/>
                <w:tab w:val="left" w:pos="2592"/>
                <w:tab w:val="left" w:pos="7200"/>
                <w:tab w:val="left" w:pos="8208"/>
              </w:tabs>
              <w:spacing w:line="360" w:lineRule="auto"/>
              <w:ind w:hanging="2"/>
              <w:jc w:val="both"/>
              <w:rPr>
                <w:rFonts w:ascii="Calibri" w:hAnsi="Calibri" w:cs="Calibri"/>
                <w:color w:val="000000"/>
                <w:sz w:val="22"/>
                <w:szCs w:val="22"/>
              </w:rPr>
            </w:pPr>
            <w:r w:rsidRPr="00F811E0">
              <w:rPr>
                <w:rFonts w:ascii="Calibri" w:hAnsi="Calibri" w:cs="Calibri"/>
                <w:color w:val="000000"/>
                <w:sz w:val="22"/>
                <w:szCs w:val="22"/>
              </w:rPr>
              <w:t>53,34 €</w:t>
            </w:r>
          </w:p>
        </w:tc>
        <w:tc>
          <w:tcPr>
            <w:tcW w:w="2612" w:type="dxa"/>
            <w:tcBorders>
              <w:bottom w:val="single" w:sz="12" w:space="0" w:color="BFBFBF"/>
            </w:tcBorders>
          </w:tcPr>
          <w:p w14:paraId="6BA56911" w14:textId="77777777" w:rsidR="000459CF" w:rsidRPr="00F811E0" w:rsidRDefault="000459CF" w:rsidP="009C0AD6">
            <w:pPr>
              <w:tabs>
                <w:tab w:val="left" w:pos="576"/>
                <w:tab w:val="left" w:pos="720"/>
                <w:tab w:val="left" w:pos="1152"/>
                <w:tab w:val="left" w:pos="1728"/>
                <w:tab w:val="left" w:pos="2592"/>
                <w:tab w:val="left" w:pos="7200"/>
                <w:tab w:val="left" w:pos="8208"/>
              </w:tabs>
              <w:spacing w:line="360" w:lineRule="auto"/>
              <w:ind w:hanging="2"/>
              <w:jc w:val="both"/>
              <w:rPr>
                <w:rFonts w:ascii="Calibri" w:hAnsi="Calibri" w:cs="Calibri"/>
                <w:color w:val="000000"/>
                <w:sz w:val="22"/>
                <w:szCs w:val="22"/>
              </w:rPr>
            </w:pPr>
            <w:r w:rsidRPr="00F811E0">
              <w:rPr>
                <w:rFonts w:ascii="Calibri" w:hAnsi="Calibri" w:cs="Calibri"/>
                <w:color w:val="000000"/>
                <w:sz w:val="22"/>
                <w:szCs w:val="22"/>
              </w:rPr>
              <w:t>155,90 €</w:t>
            </w:r>
          </w:p>
        </w:tc>
      </w:tr>
    </w:tbl>
    <w:p w14:paraId="393584AD"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Para alojamiento en las ciudades de Madrid y Barcelona, se incrementa la dieta en 24,77 euros.</w:t>
      </w:r>
    </w:p>
    <w:p w14:paraId="552FC64D" w14:textId="77777777" w:rsidR="000459CF" w:rsidRDefault="000459CF" w:rsidP="000459CF">
      <w:pPr>
        <w:numPr>
          <w:ilvl w:val="0"/>
          <w:numId w:val="4"/>
        </w:numPr>
        <w:tabs>
          <w:tab w:val="left" w:pos="567"/>
        </w:tabs>
        <w:suppressAutoHyphens w:val="0"/>
        <w:spacing w:before="200" w:line="240" w:lineRule="auto"/>
        <w:ind w:left="0" w:firstLineChars="129" w:firstLine="284"/>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lastRenderedPageBreak/>
        <w:t>En las dietas en EL EXTRANJERO, según grupos y países, el importe a percibir por gastos de alojamiento será el de los realmente producidos y justificados, sin que su cuantía pueda exceder de la señalada en el ANEXO III del Real Decreto 462/2002, de 24 de mayo.</w:t>
      </w:r>
    </w:p>
    <w:p w14:paraId="24D74F91"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6.-</w:t>
      </w:r>
      <w:r>
        <w:rPr>
          <w:rFonts w:ascii="Calibri" w:hAnsi="Calibri" w:cs="Calibri"/>
          <w:color w:val="000000"/>
          <w:sz w:val="22"/>
          <w:szCs w:val="22"/>
        </w:rPr>
        <w:t xml:space="preserve"> Los miembros de los órganos de gobierno y el Gerente del Consorcio, así como el resto de personal que sea autorizado para realizar la misma comisión de servicios, podrán percibir en concepto de indemnización por comisiones de servicios realizadas fuera de la Isla, una diferencia complementaria en concepto de alojamiento, previa justificación documental en aquellas situaciones en las que sea necesario alojarse en establecimientos hoteleros cuya cuantía no esté cubierta por las dietas contempladas en el apartado anterior.</w:t>
      </w:r>
    </w:p>
    <w:p w14:paraId="73142E1C"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7.- </w:t>
      </w:r>
      <w:r>
        <w:rPr>
          <w:rFonts w:ascii="Calibri" w:hAnsi="Calibri" w:cs="Calibri"/>
          <w:color w:val="000000"/>
          <w:sz w:val="22"/>
          <w:szCs w:val="22"/>
        </w:rPr>
        <w:t>El abono de las dietas por alojamiento y manutención atenderá a los mismos criterios establecidos en el Real Decreto 462/2002, de 24 de mayo, sobre indemnizaciones por razón del servicio:</w:t>
      </w:r>
    </w:p>
    <w:p w14:paraId="6839F077" w14:textId="77777777" w:rsidR="000459CF" w:rsidRDefault="000459CF" w:rsidP="000459CF">
      <w:pPr>
        <w:numPr>
          <w:ilvl w:val="0"/>
          <w:numId w:val="3"/>
        </w:numPr>
        <w:tabs>
          <w:tab w:val="left" w:pos="284"/>
        </w:tabs>
        <w:suppressAutoHyphens w:val="0"/>
        <w:spacing w:before="20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supuesto en que se percibirá el 50% del importe de la dieta por manutención.</w:t>
      </w:r>
    </w:p>
    <w:p w14:paraId="11CAEEA8" w14:textId="77777777" w:rsidR="000459CF" w:rsidRDefault="000459CF" w:rsidP="000459CF">
      <w:pPr>
        <w:numPr>
          <w:ilvl w:val="0"/>
          <w:numId w:val="3"/>
        </w:numPr>
        <w:tabs>
          <w:tab w:val="left" w:pos="284"/>
          <w:tab w:val="left" w:pos="576"/>
          <w:tab w:val="left" w:pos="720"/>
          <w:tab w:val="left" w:pos="936"/>
          <w:tab w:val="left" w:pos="1152"/>
          <w:tab w:val="left" w:pos="1728"/>
          <w:tab w:val="left" w:pos="2592"/>
          <w:tab w:val="left" w:pos="7200"/>
          <w:tab w:val="left" w:pos="8208"/>
        </w:tabs>
        <w:suppressAutoHyphens w:val="0"/>
        <w:spacing w:before="20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las comisiones cuya duración sea igual o menor a veinticuatro horas, pero comprendan parte de dos días naturales, podrán percibirse indemnizaciones por gastos de alojamiento correspondiente a un solo día y los gastos de manutención en las mismas condiciones fijadas en el apartado siguiente para los días de salida y regreso.</w:t>
      </w:r>
    </w:p>
    <w:p w14:paraId="31326C50" w14:textId="77777777" w:rsidR="000459CF" w:rsidRDefault="000459CF" w:rsidP="000459CF">
      <w:pPr>
        <w:numPr>
          <w:ilvl w:val="0"/>
          <w:numId w:val="3"/>
        </w:numPr>
        <w:tabs>
          <w:tab w:val="left" w:pos="284"/>
          <w:tab w:val="left" w:pos="576"/>
          <w:tab w:val="left" w:pos="720"/>
          <w:tab w:val="left" w:pos="936"/>
          <w:tab w:val="left" w:pos="1152"/>
          <w:tab w:val="left" w:pos="1728"/>
          <w:tab w:val="left" w:pos="2592"/>
          <w:tab w:val="left" w:pos="7200"/>
          <w:tab w:val="left" w:pos="8208"/>
        </w:tabs>
        <w:suppressAutoHyphens w:val="0"/>
        <w:spacing w:before="200" w:line="240" w:lineRule="auto"/>
        <w:ind w:leftChars="-1" w:left="0" w:hangingChars="1" w:hanging="2"/>
        <w:jc w:val="both"/>
        <w:textDirection w:val="btLr"/>
        <w:textAlignment w:val="top"/>
        <w:outlineLvl w:val="0"/>
        <w:rPr>
          <w:rFonts w:ascii="Calibri" w:hAnsi="Calibri" w:cs="Calibri"/>
          <w:color w:val="000000"/>
          <w:sz w:val="22"/>
          <w:szCs w:val="22"/>
        </w:rPr>
      </w:pPr>
      <w:r>
        <w:rPr>
          <w:rFonts w:ascii="Calibri" w:hAnsi="Calibri" w:cs="Calibri"/>
          <w:color w:val="000000"/>
          <w:sz w:val="22"/>
          <w:szCs w:val="22"/>
        </w:rPr>
        <w:t>En las comisiones cuya duración sea superior a veinticuatro horas se tendrá en cuenta:</w:t>
      </w:r>
    </w:p>
    <w:p w14:paraId="76720543" w14:textId="77777777" w:rsidR="000459CF" w:rsidRDefault="000459CF" w:rsidP="000459CF">
      <w:pPr>
        <w:tabs>
          <w:tab w:val="left" w:pos="567"/>
        </w:tabs>
        <w:spacing w:before="200" w:line="240" w:lineRule="auto"/>
        <w:ind w:left="567" w:hanging="285"/>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ab/>
        <w:t xml:space="preserve">En el día de salida se podrán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w:t>
      </w:r>
      <w:proofErr w:type="gramStart"/>
      <w:r>
        <w:rPr>
          <w:rFonts w:ascii="Calibri" w:hAnsi="Calibri" w:cs="Calibri"/>
          <w:color w:val="000000"/>
          <w:sz w:val="22"/>
          <w:szCs w:val="22"/>
        </w:rPr>
        <w:t>horas</w:t>
      </w:r>
      <w:proofErr w:type="gramEnd"/>
      <w:r>
        <w:rPr>
          <w:rFonts w:ascii="Calibri" w:hAnsi="Calibri" w:cs="Calibri"/>
          <w:color w:val="000000"/>
          <w:sz w:val="22"/>
          <w:szCs w:val="22"/>
        </w:rPr>
        <w:t xml:space="preserve"> pero anterior a las veintidós horas.</w:t>
      </w:r>
    </w:p>
    <w:p w14:paraId="0F40D121" w14:textId="689A869C" w:rsidR="000459CF" w:rsidRDefault="000459CF" w:rsidP="000459CF">
      <w:pPr>
        <w:tabs>
          <w:tab w:val="left" w:pos="567"/>
        </w:tabs>
        <w:spacing w:before="200" w:line="240" w:lineRule="auto"/>
        <w:ind w:left="567" w:hanging="285"/>
        <w:jc w:val="both"/>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En el día de regreso no se podrán percibir gastos de alojamiento ni manutención, salvo que la hora fijada para concluir la comisión sea posterior a las catorce horas, en cuyo caso se percibirá, con carácter general, únicamente el 50% de los gastos de manutención.</w:t>
      </w:r>
    </w:p>
    <w:p w14:paraId="44A3A725" w14:textId="0F1ACD9D" w:rsidR="000459CF" w:rsidRDefault="000459CF" w:rsidP="000459CF">
      <w:pPr>
        <w:tabs>
          <w:tab w:val="left" w:pos="567"/>
        </w:tabs>
        <w:spacing w:before="200" w:line="240" w:lineRule="auto"/>
        <w:ind w:left="567" w:hanging="285"/>
        <w:jc w:val="both"/>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En los días intermedios entre los de salida y regreso se percibirán dietas al 100%.</w:t>
      </w:r>
    </w:p>
    <w:p w14:paraId="55500D35"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En casos excepcionales, dentro de los supuestos a que se refieren los apartados anteriores, en que la hora de regreso de la comisión de servicio sea posterior a las veintidós horas, y por ello obligue a realizar cena fuera de la residencia habitual, se hará constar en la Orden de comisión, abonándose adicionalmente el importe, en un 50%, de la correspondiente dieta de manutención, previa justificación con factura o recibo del correspondiente establecimiento.</w:t>
      </w:r>
    </w:p>
    <w:p w14:paraId="7B179121"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El importe a percibir por gastos de alojamiento será el realmente gastado y justificado documentalmente, sin que su cuantía pueda exceder de las establecidas anteriormente.</w:t>
      </w:r>
    </w:p>
    <w:p w14:paraId="522787E3"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8.-</w:t>
      </w:r>
      <w:r>
        <w:rPr>
          <w:rFonts w:ascii="Calibri" w:hAnsi="Calibri" w:cs="Calibri"/>
          <w:color w:val="000000"/>
          <w:sz w:val="22"/>
          <w:szCs w:val="22"/>
        </w:rPr>
        <w:t xml:space="preserve"> Cualquiera que sea el perceptor, se abonarán íntegramente los gastos de transporte, incluidas las tasas y demás gastos reglamentariamente establecidos, realizados en los términos siguientes:</w:t>
      </w:r>
    </w:p>
    <w:p w14:paraId="5194F4B1"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lastRenderedPageBreak/>
        <w:tab/>
        <w:t>a) Cuando el medio de transporte sea el avión, se autorizará, en todo caso, la clase "turista", aunque el Órgano que ordene la comisión podrá autorizar otras clases superiores por motivos de representación o duración de los viajes, así como, en los casos de urgencia, cuando no hubiere billete o pasaje en la citada clase "turista".</w:t>
      </w:r>
    </w:p>
    <w:p w14:paraId="5A7C1359"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b) El citado personal, excepcionalmente y si así se determina en la orden de comisión, podrá utilizar en las comisiones de servicio vehículos particulares u otros medios especiales de transporte en los casos previstos en la normativa en cada momento vigente. En el supuesto de utilización de taxis o vehículos de alquiler con o sin conductor, se podrá autorizar excepcionalmente en la orden de comisión que el importe a percibir por gastos de viaje sea el realmente gastado y justificado. En caso de utilizar vehículo particular para los desplazamientos al aeropuerto será abonable únicamente el ticket del parking público.</w:t>
      </w:r>
    </w:p>
    <w:p w14:paraId="64FF307F"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c) En los casos en que así lo disponga la orden de comisión de servicios, serán igualmente indemnizables como gastos de viaje, una vez justificados documentalmente, los gastos de desplazamiento en taxi hasta o desde las estaciones de ferrocarril, autobuses, puertos y aeropuertos.</w:t>
      </w:r>
    </w:p>
    <w:p w14:paraId="2CF458F2"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9.- </w:t>
      </w:r>
      <w:r>
        <w:rPr>
          <w:rFonts w:ascii="Calibri" w:hAnsi="Calibri" w:cs="Calibri"/>
          <w:color w:val="000000"/>
          <w:sz w:val="22"/>
          <w:szCs w:val="22"/>
        </w:rPr>
        <w:t xml:space="preserve">La asistencia a jornadas, congresos, </w:t>
      </w:r>
      <w:proofErr w:type="spellStart"/>
      <w:r>
        <w:rPr>
          <w:rFonts w:ascii="Calibri" w:hAnsi="Calibri" w:cs="Calibri"/>
          <w:color w:val="000000"/>
          <w:sz w:val="22"/>
          <w:szCs w:val="22"/>
        </w:rPr>
        <w:t>simposiums</w:t>
      </w:r>
      <w:proofErr w:type="spellEnd"/>
      <w:r>
        <w:rPr>
          <w:rFonts w:ascii="Calibri" w:hAnsi="Calibri" w:cs="Calibri"/>
          <w:color w:val="000000"/>
          <w:sz w:val="22"/>
          <w:szCs w:val="22"/>
        </w:rPr>
        <w:t xml:space="preserve">, conferencias o cursos de perfeccionamiento convocados a los que se disponga la asistencia del personal quedan equiparados en cuanto a su régimen de indemnizaciones a las Comisiones de Servicio. En este supuesto, cuando se indemnice al asistente exclusivamente por el importe, en su caso, de matriculación en aquéllos, será suficiente una Resolución de la Gerencia disponiendo la asistencia y ordenando el abono de la indemnización, sin perjuicio de la justificación posterior del pago realizado.  </w:t>
      </w:r>
    </w:p>
    <w:p w14:paraId="35050977"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b/>
          <w:color w:val="000000"/>
          <w:sz w:val="22"/>
          <w:szCs w:val="22"/>
        </w:rPr>
        <w:t xml:space="preserve">10.- </w:t>
      </w:r>
      <w:r>
        <w:rPr>
          <w:rFonts w:ascii="Calibri" w:hAnsi="Calibri" w:cs="Calibri"/>
          <w:color w:val="000000"/>
          <w:sz w:val="22"/>
          <w:szCs w:val="22"/>
        </w:rPr>
        <w:t xml:space="preserve">Para atender a los previsibles devengos por indemnizaciones por razón del servicio, podrán librarse pagos con el carácter de </w:t>
      </w:r>
      <w:r>
        <w:rPr>
          <w:rFonts w:ascii="Calibri" w:hAnsi="Calibri" w:cs="Calibri"/>
          <w:b/>
          <w:color w:val="000000"/>
          <w:sz w:val="22"/>
          <w:szCs w:val="22"/>
        </w:rPr>
        <w:t>"A JUSTIFICAR"</w:t>
      </w:r>
      <w:r>
        <w:rPr>
          <w:rFonts w:ascii="Calibri" w:hAnsi="Calibri" w:cs="Calibri"/>
          <w:color w:val="000000"/>
          <w:sz w:val="22"/>
          <w:szCs w:val="22"/>
        </w:rPr>
        <w:t xml:space="preserve"> con los siguientes requisitos:</w:t>
      </w:r>
    </w:p>
    <w:p w14:paraId="1D48F3FF"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 xml:space="preserve">a) En el plazo de QUINCE días, contados a partir de aquél en que finalice la Comisión de Servicios, se justificará ante la Intervención cumplimentando el impreso al efecto, el destino dado a </w:t>
      </w:r>
      <w:proofErr w:type="gramStart"/>
      <w:r>
        <w:rPr>
          <w:rFonts w:ascii="Calibri" w:hAnsi="Calibri" w:cs="Calibri"/>
          <w:color w:val="000000"/>
          <w:sz w:val="22"/>
          <w:szCs w:val="22"/>
        </w:rPr>
        <w:t>las  cantidades</w:t>
      </w:r>
      <w:proofErr w:type="gramEnd"/>
      <w:r>
        <w:rPr>
          <w:rFonts w:ascii="Calibri" w:hAnsi="Calibri" w:cs="Calibri"/>
          <w:color w:val="000000"/>
          <w:sz w:val="22"/>
          <w:szCs w:val="22"/>
        </w:rPr>
        <w:t xml:space="preserve"> percibidas, acompañándose los originales de los siguientes  justificantes: </w:t>
      </w:r>
    </w:p>
    <w:p w14:paraId="12C54858" w14:textId="77777777" w:rsidR="000459CF" w:rsidRDefault="000459CF" w:rsidP="000459CF">
      <w:pPr>
        <w:tabs>
          <w:tab w:val="left" w:pos="993"/>
        </w:tabs>
        <w:spacing w:before="200" w:line="240" w:lineRule="auto"/>
        <w:ind w:left="284" w:hanging="2"/>
        <w:jc w:val="both"/>
        <w:rPr>
          <w:rFonts w:ascii="Calibri" w:hAnsi="Calibri" w:cs="Calibri"/>
          <w:color w:val="000000"/>
          <w:sz w:val="22"/>
          <w:szCs w:val="22"/>
        </w:rPr>
      </w:pPr>
      <w:r>
        <w:rPr>
          <w:rFonts w:ascii="Calibri" w:hAnsi="Calibri" w:cs="Calibri"/>
          <w:color w:val="000000"/>
          <w:sz w:val="22"/>
          <w:szCs w:val="22"/>
        </w:rPr>
        <w:tab/>
        <w:t>- Billete del medio de transporte utilizado.</w:t>
      </w:r>
    </w:p>
    <w:p w14:paraId="35750F1E" w14:textId="77777777" w:rsidR="000459CF" w:rsidRDefault="000459CF" w:rsidP="000459CF">
      <w:pPr>
        <w:tabs>
          <w:tab w:val="left" w:pos="993"/>
        </w:tabs>
        <w:spacing w:before="200" w:line="240" w:lineRule="auto"/>
        <w:ind w:left="284" w:hanging="2"/>
        <w:jc w:val="both"/>
        <w:rPr>
          <w:rFonts w:ascii="Calibri" w:hAnsi="Calibri" w:cs="Calibri"/>
          <w:color w:val="000000"/>
          <w:sz w:val="22"/>
          <w:szCs w:val="22"/>
        </w:rPr>
      </w:pPr>
      <w:r>
        <w:rPr>
          <w:rFonts w:ascii="Calibri" w:hAnsi="Calibri" w:cs="Calibri"/>
          <w:color w:val="000000"/>
          <w:sz w:val="22"/>
          <w:szCs w:val="22"/>
        </w:rPr>
        <w:tab/>
        <w:t>- Factura del establecimiento hotelero o de la Agencia de Viajes correspondiente.</w:t>
      </w:r>
    </w:p>
    <w:p w14:paraId="66D1BFBF" w14:textId="77777777" w:rsidR="000459CF" w:rsidRDefault="000459CF" w:rsidP="000459CF">
      <w:pPr>
        <w:tabs>
          <w:tab w:val="left" w:pos="993"/>
        </w:tabs>
        <w:spacing w:before="200" w:line="240" w:lineRule="auto"/>
        <w:ind w:left="284" w:hanging="2"/>
        <w:jc w:val="both"/>
        <w:rPr>
          <w:rFonts w:ascii="Calibri" w:hAnsi="Calibri" w:cs="Calibri"/>
          <w:color w:val="000000"/>
          <w:sz w:val="22"/>
          <w:szCs w:val="22"/>
        </w:rPr>
      </w:pPr>
      <w:r>
        <w:rPr>
          <w:rFonts w:ascii="Calibri" w:hAnsi="Calibri" w:cs="Calibri"/>
          <w:color w:val="000000"/>
          <w:sz w:val="22"/>
          <w:szCs w:val="22"/>
        </w:rPr>
        <w:tab/>
        <w:t>- Facturas de otros gastos expresamente recogidos en la Orden de Comisión de Servicios.</w:t>
      </w:r>
    </w:p>
    <w:p w14:paraId="17B5F807"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b) De las facturas de establecimientos hoteleros solamente serán computables los gastos de alojamiento, excluyéndose las devengadas por lavandería.</w:t>
      </w:r>
    </w:p>
    <w:p w14:paraId="3AF8DEC3" w14:textId="6D1256DC"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c) Cuando exista autorización para la utilización de taxis, vehículos de alquiler sin conductor, etc., se aportará la correspondiente factura.</w:t>
      </w:r>
    </w:p>
    <w:p w14:paraId="7886BDD9" w14:textId="739B1F6B"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d) Las cuotas de inscripción a los cursos de perfeccionamiento y ampliación de estudios se acreditarán con el resguardo/recibo de haber sido satisfechas.</w:t>
      </w:r>
    </w:p>
    <w:p w14:paraId="642E13F5"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e) No se admitirán cuentas justificativas si no están debidamente suscritas por el perceptor de los fondos.</w:t>
      </w:r>
    </w:p>
    <w:p w14:paraId="56C08E05"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lastRenderedPageBreak/>
        <w:tab/>
        <w:t xml:space="preserve">f) No se librarán nuevas cantidades por el </w:t>
      </w:r>
      <w:proofErr w:type="gramStart"/>
      <w:r>
        <w:rPr>
          <w:rFonts w:ascii="Calibri" w:hAnsi="Calibri" w:cs="Calibri"/>
          <w:color w:val="000000"/>
          <w:sz w:val="22"/>
          <w:szCs w:val="22"/>
        </w:rPr>
        <w:t>mismo  concepto</w:t>
      </w:r>
      <w:proofErr w:type="gramEnd"/>
      <w:r>
        <w:rPr>
          <w:rFonts w:ascii="Calibri" w:hAnsi="Calibri" w:cs="Calibri"/>
          <w:color w:val="000000"/>
          <w:sz w:val="22"/>
          <w:szCs w:val="22"/>
        </w:rPr>
        <w:t xml:space="preserve">  de "A JUSTIFICAR" a aquellos perceptores que tengan pendiente de rendir justificación de otros libramientos.</w:t>
      </w:r>
    </w:p>
    <w:p w14:paraId="341544DC"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g) Los gastos realizados que superen las cantidades a las que se tenga derecho, serán de la exclusiva responsabilidad del perceptor.</w:t>
      </w:r>
    </w:p>
    <w:p w14:paraId="2EFF8D1B"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h) Los perceptores que no rindan las cuentas en los plazos señalados quedan obligados al reintegro inmediato del total de las cantidades percibidas.</w:t>
      </w:r>
    </w:p>
    <w:p w14:paraId="1CD50ED7" w14:textId="77777777" w:rsidR="000459CF" w:rsidRDefault="000459CF" w:rsidP="000459CF">
      <w:pPr>
        <w:tabs>
          <w:tab w:val="left" w:pos="576"/>
          <w:tab w:val="left" w:pos="720"/>
          <w:tab w:val="left" w:pos="1152"/>
          <w:tab w:val="left" w:pos="1728"/>
          <w:tab w:val="left" w:pos="2592"/>
          <w:tab w:val="left" w:pos="7200"/>
          <w:tab w:val="left" w:pos="8208"/>
        </w:tabs>
        <w:spacing w:before="200" w:line="240" w:lineRule="auto"/>
        <w:ind w:hanging="2"/>
        <w:jc w:val="both"/>
        <w:rPr>
          <w:rFonts w:ascii="Calibri" w:hAnsi="Calibri" w:cs="Calibri"/>
          <w:color w:val="000000"/>
          <w:sz w:val="22"/>
          <w:szCs w:val="22"/>
        </w:rPr>
      </w:pPr>
      <w:r>
        <w:rPr>
          <w:rFonts w:ascii="Calibri" w:hAnsi="Calibri" w:cs="Calibri"/>
          <w:color w:val="000000"/>
          <w:sz w:val="22"/>
          <w:szCs w:val="22"/>
        </w:rPr>
        <w:tab/>
        <w:t>i) No precisarán de justificación documental alguna las cantidades satisfechas en concepto de indemnización por gastos de manutención.</w:t>
      </w:r>
    </w:p>
    <w:p w14:paraId="2EC15C8F" w14:textId="34A71344" w:rsidR="000459CF" w:rsidRDefault="000459CF" w:rsidP="000459CF">
      <w:pPr>
        <w:spacing w:before="300" w:line="264" w:lineRule="auto"/>
        <w:jc w:val="both"/>
        <w:rPr>
          <w:rFonts w:ascii="Calibri" w:hAnsi="Calibri" w:cs="Calibri"/>
          <w:b/>
          <w:sz w:val="24"/>
          <w:szCs w:val="24"/>
        </w:rPr>
      </w:pPr>
      <w:r>
        <w:rPr>
          <w:rFonts w:ascii="Calibri" w:hAnsi="Calibri" w:cs="Calibri"/>
          <w:color w:val="000000"/>
          <w:sz w:val="22"/>
          <w:szCs w:val="22"/>
        </w:rPr>
        <w:tab/>
        <w:t>En todo lo no previsto en esta Base, se aplicará lo dispuesto en la normativa aplicable al respecto, es decir, el referido Real Decreto 462/2002, de 24 de mayo, sobre indemnizaciones por razón del servicio</w:t>
      </w:r>
    </w:p>
    <w:p w14:paraId="23CFCD22" w14:textId="77777777" w:rsidR="000459CF" w:rsidRDefault="000459CF" w:rsidP="00620ED3">
      <w:pPr>
        <w:spacing w:before="300" w:line="264" w:lineRule="auto"/>
        <w:jc w:val="both"/>
        <w:rPr>
          <w:rFonts w:ascii="Calibri" w:hAnsi="Calibri" w:cs="Calibri"/>
          <w:b/>
          <w:sz w:val="24"/>
          <w:szCs w:val="24"/>
        </w:rPr>
      </w:pPr>
    </w:p>
    <w:p w14:paraId="2276E3F4" w14:textId="77777777" w:rsidR="00FC5A27" w:rsidRDefault="00FC5A27"/>
    <w:sectPr w:rsidR="00FC5A27" w:rsidSect="00620ED3">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E32E" w14:textId="77777777" w:rsidR="00620ED3" w:rsidRDefault="00620ED3" w:rsidP="00620ED3">
      <w:pPr>
        <w:spacing w:line="240" w:lineRule="auto"/>
      </w:pPr>
      <w:r>
        <w:separator/>
      </w:r>
    </w:p>
  </w:endnote>
  <w:endnote w:type="continuationSeparator" w:id="0">
    <w:p w14:paraId="08CC4042" w14:textId="77777777" w:rsidR="00620ED3" w:rsidRDefault="00620ED3" w:rsidP="0062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D5B7" w14:textId="77777777" w:rsidR="00620ED3" w:rsidRDefault="00620ED3" w:rsidP="00620ED3">
      <w:pPr>
        <w:spacing w:line="240" w:lineRule="auto"/>
      </w:pPr>
      <w:r>
        <w:separator/>
      </w:r>
    </w:p>
  </w:footnote>
  <w:footnote w:type="continuationSeparator" w:id="0">
    <w:p w14:paraId="097E749E" w14:textId="77777777" w:rsidR="00620ED3" w:rsidRDefault="00620ED3" w:rsidP="00620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D9AD" w14:textId="77777777" w:rsidR="00620ED3" w:rsidRDefault="00620ED3">
    <w:pPr>
      <w:pStyle w:val="Encabezado"/>
    </w:pPr>
    <w:r>
      <w:rPr>
        <w:noProof/>
      </w:rPr>
      <w:drawing>
        <wp:anchor distT="0" distB="0" distL="114300" distR="114300" simplePos="0" relativeHeight="251658240" behindDoc="0" locked="0" layoutInCell="1" allowOverlap="1" wp14:anchorId="54863568" wp14:editId="3BBBA741">
          <wp:simplePos x="0" y="0"/>
          <wp:positionH relativeFrom="column">
            <wp:posOffset>-1051560</wp:posOffset>
          </wp:positionH>
          <wp:positionV relativeFrom="paragraph">
            <wp:posOffset>-419100</wp:posOffset>
          </wp:positionV>
          <wp:extent cx="2748280" cy="12617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1673" t="760" r="35442" b="88564"/>
                  <a:stretch>
                    <a:fillRect/>
                  </a:stretch>
                </pic:blipFill>
                <pic:spPr bwMode="auto">
                  <a:xfrm>
                    <a:off x="0" y="0"/>
                    <a:ext cx="274828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lowerLetter"/>
      <w:lvlText w:val="%1)"/>
      <w:lvlJc w:val="left"/>
      <w:pPr>
        <w:tabs>
          <w:tab w:val="num" w:pos="936"/>
        </w:tabs>
        <w:ind w:left="93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691985"/>
    <w:multiLevelType w:val="multilevel"/>
    <w:tmpl w:val="FFFFFFFF"/>
    <w:lvl w:ilvl="0">
      <w:start w:val="1"/>
      <w:numFmt w:val="lowerLetter"/>
      <w:lvlText w:val="%1)"/>
      <w:lvlJc w:val="left"/>
      <w:pPr>
        <w:ind w:left="936"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440" w:hanging="360"/>
      </w:pPr>
      <w:rPr>
        <w:rFonts w:cs="Times New Roman"/>
        <w:vertAlign w:val="baseline"/>
      </w:rPr>
    </w:lvl>
    <w:lvl w:ilvl="3">
      <w:start w:val="1"/>
      <w:numFmt w:val="decimal"/>
      <w:lvlText w:val="%4."/>
      <w:lvlJc w:val="left"/>
      <w:pPr>
        <w:ind w:left="1800" w:hanging="360"/>
      </w:pPr>
      <w:rPr>
        <w:rFonts w:cs="Times New Roman"/>
        <w:vertAlign w:val="baseline"/>
      </w:rPr>
    </w:lvl>
    <w:lvl w:ilvl="4">
      <w:start w:val="1"/>
      <w:numFmt w:val="decimal"/>
      <w:lvlText w:val="%5."/>
      <w:lvlJc w:val="left"/>
      <w:pPr>
        <w:ind w:left="2160" w:hanging="360"/>
      </w:pPr>
      <w:rPr>
        <w:rFonts w:cs="Times New Roman"/>
        <w:vertAlign w:val="baseline"/>
      </w:rPr>
    </w:lvl>
    <w:lvl w:ilvl="5">
      <w:start w:val="1"/>
      <w:numFmt w:val="decimal"/>
      <w:lvlText w:val="%6."/>
      <w:lvlJc w:val="left"/>
      <w:pPr>
        <w:ind w:left="2520" w:hanging="360"/>
      </w:pPr>
      <w:rPr>
        <w:rFonts w:cs="Times New Roman"/>
        <w:vertAlign w:val="baseline"/>
      </w:rPr>
    </w:lvl>
    <w:lvl w:ilvl="6">
      <w:start w:val="1"/>
      <w:numFmt w:val="decimal"/>
      <w:lvlText w:val="%7."/>
      <w:lvlJc w:val="left"/>
      <w:pPr>
        <w:ind w:left="2880" w:hanging="360"/>
      </w:pPr>
      <w:rPr>
        <w:rFonts w:cs="Times New Roman"/>
        <w:vertAlign w:val="baseline"/>
      </w:rPr>
    </w:lvl>
    <w:lvl w:ilvl="7">
      <w:start w:val="1"/>
      <w:numFmt w:val="decimal"/>
      <w:lvlText w:val="%8."/>
      <w:lvlJc w:val="left"/>
      <w:pPr>
        <w:ind w:left="3240" w:hanging="360"/>
      </w:pPr>
      <w:rPr>
        <w:rFonts w:cs="Times New Roman"/>
        <w:vertAlign w:val="baseline"/>
      </w:rPr>
    </w:lvl>
    <w:lvl w:ilvl="8">
      <w:start w:val="1"/>
      <w:numFmt w:val="decimal"/>
      <w:lvlText w:val="%9."/>
      <w:lvlJc w:val="left"/>
      <w:pPr>
        <w:ind w:left="3600" w:hanging="360"/>
      </w:pPr>
      <w:rPr>
        <w:rFonts w:cs="Times New Roman"/>
        <w:vertAlign w:val="baseline"/>
      </w:rPr>
    </w:lvl>
  </w:abstractNum>
  <w:abstractNum w:abstractNumId="2" w15:restartNumberingAfterBreak="0">
    <w:nsid w:val="45DE2205"/>
    <w:multiLevelType w:val="hybridMultilevel"/>
    <w:tmpl w:val="B1B0404C"/>
    <w:lvl w:ilvl="0" w:tplc="0C0A0009">
      <w:start w:val="1"/>
      <w:numFmt w:val="bullet"/>
      <w:lvlText w:val=""/>
      <w:lvlJc w:val="left"/>
      <w:pPr>
        <w:tabs>
          <w:tab w:val="num" w:pos="1296"/>
        </w:tabs>
        <w:ind w:left="1296" w:hanging="360"/>
      </w:pPr>
      <w:rPr>
        <w:rFonts w:ascii="Wingdings" w:hAnsi="Wingdings" w:hint="default"/>
      </w:rPr>
    </w:lvl>
    <w:lvl w:ilvl="1" w:tplc="0C0A0003" w:tentative="1">
      <w:start w:val="1"/>
      <w:numFmt w:val="bullet"/>
      <w:lvlText w:val="o"/>
      <w:lvlJc w:val="left"/>
      <w:pPr>
        <w:tabs>
          <w:tab w:val="num" w:pos="2016"/>
        </w:tabs>
        <w:ind w:left="2016" w:hanging="360"/>
      </w:pPr>
      <w:rPr>
        <w:rFonts w:ascii="Courier New" w:hAnsi="Courier New" w:cs="Courier New" w:hint="default"/>
      </w:rPr>
    </w:lvl>
    <w:lvl w:ilvl="2" w:tplc="0C0A0005" w:tentative="1">
      <w:start w:val="1"/>
      <w:numFmt w:val="bullet"/>
      <w:lvlText w:val=""/>
      <w:lvlJc w:val="left"/>
      <w:pPr>
        <w:tabs>
          <w:tab w:val="num" w:pos="2736"/>
        </w:tabs>
        <w:ind w:left="2736" w:hanging="360"/>
      </w:pPr>
      <w:rPr>
        <w:rFonts w:ascii="Wingdings" w:hAnsi="Wingdings" w:hint="default"/>
      </w:rPr>
    </w:lvl>
    <w:lvl w:ilvl="3" w:tplc="0C0A0001" w:tentative="1">
      <w:start w:val="1"/>
      <w:numFmt w:val="bullet"/>
      <w:lvlText w:val=""/>
      <w:lvlJc w:val="left"/>
      <w:pPr>
        <w:tabs>
          <w:tab w:val="num" w:pos="3456"/>
        </w:tabs>
        <w:ind w:left="3456" w:hanging="360"/>
      </w:pPr>
      <w:rPr>
        <w:rFonts w:ascii="Symbol" w:hAnsi="Symbol" w:hint="default"/>
      </w:rPr>
    </w:lvl>
    <w:lvl w:ilvl="4" w:tplc="0C0A0003" w:tentative="1">
      <w:start w:val="1"/>
      <w:numFmt w:val="bullet"/>
      <w:lvlText w:val="o"/>
      <w:lvlJc w:val="left"/>
      <w:pPr>
        <w:tabs>
          <w:tab w:val="num" w:pos="4176"/>
        </w:tabs>
        <w:ind w:left="4176" w:hanging="360"/>
      </w:pPr>
      <w:rPr>
        <w:rFonts w:ascii="Courier New" w:hAnsi="Courier New" w:cs="Courier New" w:hint="default"/>
      </w:rPr>
    </w:lvl>
    <w:lvl w:ilvl="5" w:tplc="0C0A0005" w:tentative="1">
      <w:start w:val="1"/>
      <w:numFmt w:val="bullet"/>
      <w:lvlText w:val=""/>
      <w:lvlJc w:val="left"/>
      <w:pPr>
        <w:tabs>
          <w:tab w:val="num" w:pos="4896"/>
        </w:tabs>
        <w:ind w:left="4896" w:hanging="360"/>
      </w:pPr>
      <w:rPr>
        <w:rFonts w:ascii="Wingdings" w:hAnsi="Wingdings" w:hint="default"/>
      </w:rPr>
    </w:lvl>
    <w:lvl w:ilvl="6" w:tplc="0C0A0001" w:tentative="1">
      <w:start w:val="1"/>
      <w:numFmt w:val="bullet"/>
      <w:lvlText w:val=""/>
      <w:lvlJc w:val="left"/>
      <w:pPr>
        <w:tabs>
          <w:tab w:val="num" w:pos="5616"/>
        </w:tabs>
        <w:ind w:left="5616" w:hanging="360"/>
      </w:pPr>
      <w:rPr>
        <w:rFonts w:ascii="Symbol" w:hAnsi="Symbol" w:hint="default"/>
      </w:rPr>
    </w:lvl>
    <w:lvl w:ilvl="7" w:tplc="0C0A0003" w:tentative="1">
      <w:start w:val="1"/>
      <w:numFmt w:val="bullet"/>
      <w:lvlText w:val="o"/>
      <w:lvlJc w:val="left"/>
      <w:pPr>
        <w:tabs>
          <w:tab w:val="num" w:pos="6336"/>
        </w:tabs>
        <w:ind w:left="6336" w:hanging="360"/>
      </w:pPr>
      <w:rPr>
        <w:rFonts w:ascii="Courier New" w:hAnsi="Courier New" w:cs="Courier New" w:hint="default"/>
      </w:rPr>
    </w:lvl>
    <w:lvl w:ilvl="8" w:tplc="0C0A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58516E2F"/>
    <w:multiLevelType w:val="multilevel"/>
    <w:tmpl w:val="FFFFFFFF"/>
    <w:lvl w:ilvl="0">
      <w:start w:val="1"/>
      <w:numFmt w:val="bullet"/>
      <w:lvlText w:val="❖"/>
      <w:lvlJc w:val="left"/>
      <w:pPr>
        <w:ind w:left="1296" w:hanging="360"/>
      </w:pPr>
      <w:rPr>
        <w:rFonts w:ascii="Noto Sans Symbols" w:eastAsia="Times New Roman" w:hAnsi="Noto Sans Symbols"/>
        <w:vertAlign w:val="baseline"/>
      </w:rPr>
    </w:lvl>
    <w:lvl w:ilvl="1">
      <w:start w:val="1"/>
      <w:numFmt w:val="bullet"/>
      <w:lvlText w:val="o"/>
      <w:lvlJc w:val="left"/>
      <w:pPr>
        <w:ind w:left="2016" w:hanging="360"/>
      </w:pPr>
      <w:rPr>
        <w:rFonts w:ascii="Courier New" w:eastAsia="Times New Roman" w:hAnsi="Courier New"/>
        <w:vertAlign w:val="baseline"/>
      </w:rPr>
    </w:lvl>
    <w:lvl w:ilvl="2">
      <w:start w:val="1"/>
      <w:numFmt w:val="bullet"/>
      <w:lvlText w:val="▪"/>
      <w:lvlJc w:val="left"/>
      <w:pPr>
        <w:ind w:left="2736" w:hanging="360"/>
      </w:pPr>
      <w:rPr>
        <w:rFonts w:ascii="Noto Sans Symbols" w:eastAsia="Times New Roman" w:hAnsi="Noto Sans Symbols"/>
        <w:vertAlign w:val="baseline"/>
      </w:rPr>
    </w:lvl>
    <w:lvl w:ilvl="3">
      <w:start w:val="1"/>
      <w:numFmt w:val="bullet"/>
      <w:lvlText w:val="●"/>
      <w:lvlJc w:val="left"/>
      <w:pPr>
        <w:ind w:left="3456" w:hanging="360"/>
      </w:pPr>
      <w:rPr>
        <w:rFonts w:ascii="Noto Sans Symbols" w:eastAsia="Times New Roman" w:hAnsi="Noto Sans Symbols"/>
        <w:vertAlign w:val="baseline"/>
      </w:rPr>
    </w:lvl>
    <w:lvl w:ilvl="4">
      <w:start w:val="1"/>
      <w:numFmt w:val="bullet"/>
      <w:lvlText w:val="o"/>
      <w:lvlJc w:val="left"/>
      <w:pPr>
        <w:ind w:left="4176" w:hanging="360"/>
      </w:pPr>
      <w:rPr>
        <w:rFonts w:ascii="Courier New" w:eastAsia="Times New Roman" w:hAnsi="Courier New"/>
        <w:vertAlign w:val="baseline"/>
      </w:rPr>
    </w:lvl>
    <w:lvl w:ilvl="5">
      <w:start w:val="1"/>
      <w:numFmt w:val="bullet"/>
      <w:lvlText w:val="▪"/>
      <w:lvlJc w:val="left"/>
      <w:pPr>
        <w:ind w:left="4896" w:hanging="360"/>
      </w:pPr>
      <w:rPr>
        <w:rFonts w:ascii="Noto Sans Symbols" w:eastAsia="Times New Roman" w:hAnsi="Noto Sans Symbols"/>
        <w:vertAlign w:val="baseline"/>
      </w:rPr>
    </w:lvl>
    <w:lvl w:ilvl="6">
      <w:start w:val="1"/>
      <w:numFmt w:val="bullet"/>
      <w:lvlText w:val="●"/>
      <w:lvlJc w:val="left"/>
      <w:pPr>
        <w:ind w:left="5616" w:hanging="360"/>
      </w:pPr>
      <w:rPr>
        <w:rFonts w:ascii="Noto Sans Symbols" w:eastAsia="Times New Roman" w:hAnsi="Noto Sans Symbols"/>
        <w:vertAlign w:val="baseline"/>
      </w:rPr>
    </w:lvl>
    <w:lvl w:ilvl="7">
      <w:start w:val="1"/>
      <w:numFmt w:val="bullet"/>
      <w:lvlText w:val="o"/>
      <w:lvlJc w:val="left"/>
      <w:pPr>
        <w:ind w:left="6336" w:hanging="360"/>
      </w:pPr>
      <w:rPr>
        <w:rFonts w:ascii="Courier New" w:eastAsia="Times New Roman" w:hAnsi="Courier New"/>
        <w:vertAlign w:val="baseline"/>
      </w:rPr>
    </w:lvl>
    <w:lvl w:ilvl="8">
      <w:start w:val="1"/>
      <w:numFmt w:val="bullet"/>
      <w:lvlText w:val="▪"/>
      <w:lvlJc w:val="left"/>
      <w:pPr>
        <w:ind w:left="7056" w:hanging="360"/>
      </w:pPr>
      <w:rPr>
        <w:rFonts w:ascii="Noto Sans Symbols" w:eastAsia="Times New Roman" w:hAnsi="Noto Sans Symbols"/>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D3"/>
    <w:rsid w:val="000459CF"/>
    <w:rsid w:val="00620ED3"/>
    <w:rsid w:val="00FC5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6E861"/>
  <w15:chartTrackingRefBased/>
  <w15:docId w15:val="{63AE635D-86CF-4A60-80B8-515C9DF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D3"/>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0ED3"/>
    <w:pPr>
      <w:tabs>
        <w:tab w:val="center" w:pos="4252"/>
        <w:tab w:val="right" w:pos="8504"/>
      </w:tabs>
      <w:spacing w:line="240" w:lineRule="auto"/>
    </w:pPr>
    <w:rPr>
      <w:rFonts w:cs="Mangal"/>
      <w:szCs w:val="18"/>
    </w:rPr>
  </w:style>
  <w:style w:type="character" w:customStyle="1" w:styleId="EncabezadoCar">
    <w:name w:val="Encabezado Car"/>
    <w:basedOn w:val="Fuentedeprrafopredeter"/>
    <w:link w:val="Encabezado"/>
    <w:uiPriority w:val="99"/>
    <w:rsid w:val="00620ED3"/>
    <w:rPr>
      <w:rFonts w:ascii="Times New Roman" w:eastAsia="Times New Roman" w:hAnsi="Times New Roman" w:cs="Mangal"/>
      <w:kern w:val="1"/>
      <w:sz w:val="20"/>
      <w:szCs w:val="18"/>
      <w:lang w:eastAsia="hi-IN" w:bidi="hi-IN"/>
    </w:rPr>
  </w:style>
  <w:style w:type="paragraph" w:styleId="Piedepgina">
    <w:name w:val="footer"/>
    <w:basedOn w:val="Normal"/>
    <w:link w:val="PiedepginaCar"/>
    <w:uiPriority w:val="99"/>
    <w:unhideWhenUsed/>
    <w:rsid w:val="00620ED3"/>
    <w:pPr>
      <w:tabs>
        <w:tab w:val="center" w:pos="4252"/>
        <w:tab w:val="right" w:pos="8504"/>
      </w:tabs>
      <w:spacing w:line="240" w:lineRule="auto"/>
    </w:pPr>
    <w:rPr>
      <w:rFonts w:cs="Mangal"/>
      <w:szCs w:val="18"/>
    </w:rPr>
  </w:style>
  <w:style w:type="character" w:customStyle="1" w:styleId="PiedepginaCar">
    <w:name w:val="Pie de página Car"/>
    <w:basedOn w:val="Fuentedeprrafopredeter"/>
    <w:link w:val="Piedepgina"/>
    <w:uiPriority w:val="99"/>
    <w:rsid w:val="00620ED3"/>
    <w:rPr>
      <w:rFonts w:ascii="Times New Roman" w:eastAsia="Times New Roma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1502</Words>
  <Characters>8265</Characters>
  <Application>Microsoft Office Word</Application>
  <DocSecurity>0</DocSecurity>
  <Lines>68</Lines>
  <Paragraphs>19</Paragraphs>
  <ScaleCrop>false</ScaleCrop>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 administracion</dc:creator>
  <cp:keywords/>
  <dc:description/>
  <cp:lastModifiedBy>Presidente (Consorcio Urbanístico Puerto de la Cruz)</cp:lastModifiedBy>
  <cp:revision>2</cp:revision>
  <dcterms:created xsi:type="dcterms:W3CDTF">2021-07-07T20:41:00Z</dcterms:created>
  <dcterms:modified xsi:type="dcterms:W3CDTF">2021-07-07T20:41:00Z</dcterms:modified>
</cp:coreProperties>
</file>